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3C27" w14:textId="31CA0B06" w:rsidR="00DF588E" w:rsidRDefault="00974C36" w:rsidP="009B00C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36">
        <w:rPr>
          <w:rFonts w:ascii="Arial" w:hAnsi="Arial" w:cs="Arial"/>
          <w:b/>
          <w:bCs/>
          <w:sz w:val="28"/>
          <w:szCs w:val="28"/>
        </w:rPr>
        <w:t>VCAT Ruling: Wollert Lifestyle Community</w:t>
      </w:r>
    </w:p>
    <w:p w14:paraId="6DD65BEE" w14:textId="77777777" w:rsidR="009B00CA" w:rsidRDefault="009B00CA" w:rsidP="009B00C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84BA9A2" w14:textId="14CA22EA" w:rsidR="009B00CA" w:rsidRPr="00203F27" w:rsidRDefault="009B00CA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 xml:space="preserve">RRVV has had </w:t>
      </w:r>
      <w:proofErr w:type="gramStart"/>
      <w:r w:rsidR="00E97CA6" w:rsidRPr="00203F27">
        <w:rPr>
          <w:rFonts w:ascii="Arial" w:hAnsi="Arial" w:cs="Arial"/>
          <w:sz w:val="23"/>
          <w:szCs w:val="23"/>
        </w:rPr>
        <w:t>a number of</w:t>
      </w:r>
      <w:proofErr w:type="gramEnd"/>
      <w:r w:rsidR="00E97CA6" w:rsidRPr="00203F27">
        <w:rPr>
          <w:rFonts w:ascii="Arial" w:hAnsi="Arial" w:cs="Arial"/>
          <w:sz w:val="23"/>
          <w:szCs w:val="23"/>
        </w:rPr>
        <w:t xml:space="preserve"> </w:t>
      </w:r>
      <w:r w:rsidRPr="00203F27">
        <w:rPr>
          <w:rFonts w:ascii="Arial" w:hAnsi="Arial" w:cs="Arial"/>
          <w:sz w:val="23"/>
          <w:szCs w:val="23"/>
        </w:rPr>
        <w:t xml:space="preserve">queries from members regarding the recent VCAT ruling relating to the Wollert Lifestyle Village. In the main, members wish to know </w:t>
      </w:r>
      <w:proofErr w:type="gramStart"/>
      <w:r w:rsidRPr="00203F27">
        <w:rPr>
          <w:rFonts w:ascii="Arial" w:hAnsi="Arial" w:cs="Arial"/>
          <w:sz w:val="23"/>
          <w:szCs w:val="23"/>
        </w:rPr>
        <w:t>whether or not</w:t>
      </w:r>
      <w:proofErr w:type="gramEnd"/>
      <w:r w:rsidRPr="00203F27">
        <w:rPr>
          <w:rFonts w:ascii="Arial" w:hAnsi="Arial" w:cs="Arial"/>
          <w:sz w:val="23"/>
          <w:szCs w:val="23"/>
        </w:rPr>
        <w:t xml:space="preserve"> the decision applies to retirement villages.</w:t>
      </w:r>
      <w:r w:rsidR="00FE07D0" w:rsidRPr="00203F27">
        <w:rPr>
          <w:rFonts w:ascii="Arial" w:hAnsi="Arial" w:cs="Arial"/>
          <w:sz w:val="23"/>
          <w:szCs w:val="23"/>
        </w:rPr>
        <w:t xml:space="preserve"> The short answer to this question is “no” as </w:t>
      </w:r>
      <w:r w:rsidR="00E97CA6" w:rsidRPr="00203F27">
        <w:rPr>
          <w:rFonts w:ascii="Arial" w:hAnsi="Arial" w:cs="Arial"/>
          <w:sz w:val="23"/>
          <w:szCs w:val="23"/>
        </w:rPr>
        <w:t xml:space="preserve">retirement village and lifestyle communities </w:t>
      </w:r>
      <w:r w:rsidR="00FE07D0" w:rsidRPr="00203F27">
        <w:rPr>
          <w:rFonts w:ascii="Arial" w:hAnsi="Arial" w:cs="Arial"/>
          <w:sz w:val="23"/>
          <w:szCs w:val="23"/>
        </w:rPr>
        <w:t xml:space="preserve">are regulated under different legislation. </w:t>
      </w:r>
    </w:p>
    <w:p w14:paraId="2E6763CE" w14:textId="2B114478" w:rsidR="009B00CA" w:rsidRPr="00203F27" w:rsidRDefault="009B00CA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 xml:space="preserve">In lifestyle communities, residents typically buy a home from the owners/operators and rent </w:t>
      </w:r>
      <w:r w:rsidR="00D008ED" w:rsidRPr="00203F27">
        <w:rPr>
          <w:rFonts w:ascii="Arial" w:hAnsi="Arial" w:cs="Arial"/>
          <w:sz w:val="23"/>
          <w:szCs w:val="23"/>
        </w:rPr>
        <w:t xml:space="preserve">the </w:t>
      </w:r>
      <w:r w:rsidRPr="00203F27">
        <w:rPr>
          <w:rFonts w:ascii="Arial" w:hAnsi="Arial" w:cs="Arial"/>
          <w:sz w:val="23"/>
          <w:szCs w:val="23"/>
        </w:rPr>
        <w:t xml:space="preserve">land on which the home is located. They “are then required to enter a Residential Site Agreement (RSA) which requires them to pay an exit fee, calculated as a percentage of the price when they on-sell their homes. Also, on the death of a resident, the RSA says their estate must keep paying </w:t>
      </w:r>
      <w:proofErr w:type="gramStart"/>
      <w:r w:rsidRPr="00203F27">
        <w:rPr>
          <w:rFonts w:ascii="Arial" w:hAnsi="Arial" w:cs="Arial"/>
          <w:sz w:val="23"/>
          <w:szCs w:val="23"/>
        </w:rPr>
        <w:t>rent”</w:t>
      </w:r>
      <w:r w:rsidR="007F6427" w:rsidRPr="00203F27">
        <w:rPr>
          <w:rFonts w:ascii="Arial" w:hAnsi="Arial" w:cs="Arial"/>
          <w:sz w:val="23"/>
          <w:szCs w:val="23"/>
        </w:rPr>
        <w:t>*</w:t>
      </w:r>
      <w:proofErr w:type="gramEnd"/>
      <w:r w:rsidRPr="00203F27">
        <w:rPr>
          <w:rFonts w:ascii="Arial" w:hAnsi="Arial" w:cs="Arial"/>
          <w:sz w:val="23"/>
          <w:szCs w:val="23"/>
        </w:rPr>
        <w:t>, but the estate beneficiaries are not able to occupy the home.</w:t>
      </w:r>
    </w:p>
    <w:p w14:paraId="5FB7F3E3" w14:textId="4816CD8E" w:rsidR="00A04E50" w:rsidRPr="00203F27" w:rsidRDefault="00974C36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 xml:space="preserve">A group of 80 residents from </w:t>
      </w:r>
      <w:r w:rsidR="00440C9D" w:rsidRPr="00203F27">
        <w:rPr>
          <w:rFonts w:ascii="Arial" w:hAnsi="Arial" w:cs="Arial"/>
          <w:sz w:val="23"/>
          <w:szCs w:val="23"/>
        </w:rPr>
        <w:t>t</w:t>
      </w:r>
      <w:r w:rsidRPr="00203F27">
        <w:rPr>
          <w:rFonts w:ascii="Arial" w:hAnsi="Arial" w:cs="Arial"/>
          <w:sz w:val="23"/>
          <w:szCs w:val="23"/>
        </w:rPr>
        <w:t>he</w:t>
      </w:r>
      <w:r w:rsidR="00440C9D" w:rsidRPr="00203F27">
        <w:rPr>
          <w:rFonts w:ascii="Arial" w:hAnsi="Arial" w:cs="Arial"/>
          <w:sz w:val="23"/>
          <w:szCs w:val="23"/>
        </w:rPr>
        <w:t xml:space="preserve"> </w:t>
      </w:r>
      <w:r w:rsidRPr="00203F27">
        <w:rPr>
          <w:rFonts w:ascii="Arial" w:hAnsi="Arial" w:cs="Arial"/>
          <w:sz w:val="23"/>
          <w:szCs w:val="23"/>
        </w:rPr>
        <w:t xml:space="preserve">Wollert Lifestyle Community, </w:t>
      </w:r>
      <w:r w:rsidR="00440C9D" w:rsidRPr="00203F27">
        <w:rPr>
          <w:rFonts w:ascii="Arial" w:hAnsi="Arial" w:cs="Arial"/>
          <w:sz w:val="23"/>
          <w:szCs w:val="23"/>
        </w:rPr>
        <w:t xml:space="preserve">which is 26 km from the </w:t>
      </w:r>
      <w:r w:rsidR="00A04E50" w:rsidRPr="00203F27">
        <w:rPr>
          <w:rFonts w:ascii="Arial" w:hAnsi="Arial" w:cs="Arial"/>
          <w:sz w:val="23"/>
          <w:szCs w:val="23"/>
        </w:rPr>
        <w:t>Melbourne</w:t>
      </w:r>
      <w:r w:rsidR="00440C9D" w:rsidRPr="00203F27">
        <w:rPr>
          <w:rFonts w:ascii="Arial" w:hAnsi="Arial" w:cs="Arial"/>
          <w:sz w:val="23"/>
          <w:szCs w:val="23"/>
        </w:rPr>
        <w:t xml:space="preserve"> CBD</w:t>
      </w:r>
      <w:r w:rsidR="00A04E50" w:rsidRPr="00203F27">
        <w:rPr>
          <w:rFonts w:ascii="Arial" w:hAnsi="Arial" w:cs="Arial"/>
          <w:sz w:val="23"/>
          <w:szCs w:val="23"/>
        </w:rPr>
        <w:t>,</w:t>
      </w:r>
      <w:r w:rsidR="00440C9D" w:rsidRPr="00203F27">
        <w:rPr>
          <w:rFonts w:ascii="Arial" w:hAnsi="Arial" w:cs="Arial"/>
          <w:sz w:val="23"/>
          <w:szCs w:val="23"/>
        </w:rPr>
        <w:t xml:space="preserve"> </w:t>
      </w:r>
      <w:proofErr w:type="gramStart"/>
      <w:r w:rsidR="00440C9D" w:rsidRPr="00203F27">
        <w:rPr>
          <w:rFonts w:ascii="Arial" w:hAnsi="Arial" w:cs="Arial"/>
          <w:sz w:val="23"/>
          <w:szCs w:val="23"/>
        </w:rPr>
        <w:t>took action</w:t>
      </w:r>
      <w:proofErr w:type="gramEnd"/>
      <w:r w:rsidR="00440C9D" w:rsidRPr="00203F27">
        <w:rPr>
          <w:rFonts w:ascii="Arial" w:hAnsi="Arial" w:cs="Arial"/>
          <w:sz w:val="23"/>
          <w:szCs w:val="23"/>
        </w:rPr>
        <w:t xml:space="preserve"> </w:t>
      </w:r>
      <w:r w:rsidR="00A04E50" w:rsidRPr="00203F27">
        <w:rPr>
          <w:rFonts w:ascii="Arial" w:hAnsi="Arial" w:cs="Arial"/>
          <w:sz w:val="23"/>
          <w:szCs w:val="23"/>
        </w:rPr>
        <w:t xml:space="preserve">against </w:t>
      </w:r>
      <w:r w:rsidR="009B00CA" w:rsidRPr="00203F27">
        <w:rPr>
          <w:rFonts w:ascii="Arial" w:hAnsi="Arial" w:cs="Arial"/>
          <w:sz w:val="23"/>
          <w:szCs w:val="23"/>
        </w:rPr>
        <w:t xml:space="preserve">Lifestyle Management 2 Pty Ltd at </w:t>
      </w:r>
      <w:r w:rsidR="00440C9D" w:rsidRPr="00203F27">
        <w:rPr>
          <w:rFonts w:ascii="Arial" w:hAnsi="Arial" w:cs="Arial"/>
          <w:sz w:val="23"/>
          <w:szCs w:val="23"/>
        </w:rPr>
        <w:t>VCAT (</w:t>
      </w:r>
      <w:r w:rsidR="00A04E50" w:rsidRPr="00203F27">
        <w:rPr>
          <w:rFonts w:ascii="Arial" w:hAnsi="Arial" w:cs="Arial"/>
          <w:sz w:val="23"/>
          <w:szCs w:val="23"/>
        </w:rPr>
        <w:t>Victorian</w:t>
      </w:r>
      <w:r w:rsidR="00440C9D" w:rsidRPr="00203F27">
        <w:rPr>
          <w:rFonts w:ascii="Arial" w:hAnsi="Arial" w:cs="Arial"/>
          <w:sz w:val="23"/>
          <w:szCs w:val="23"/>
        </w:rPr>
        <w:t xml:space="preserve"> </w:t>
      </w:r>
      <w:r w:rsidR="00A04E50" w:rsidRPr="00203F27">
        <w:rPr>
          <w:rFonts w:ascii="Arial" w:hAnsi="Arial" w:cs="Arial"/>
          <w:sz w:val="23"/>
          <w:szCs w:val="23"/>
        </w:rPr>
        <w:t>Civil</w:t>
      </w:r>
      <w:r w:rsidR="00440C9D" w:rsidRPr="00203F27">
        <w:rPr>
          <w:rFonts w:ascii="Arial" w:hAnsi="Arial" w:cs="Arial"/>
          <w:sz w:val="23"/>
          <w:szCs w:val="23"/>
        </w:rPr>
        <w:t xml:space="preserve"> and </w:t>
      </w:r>
      <w:r w:rsidR="00A04E50" w:rsidRPr="00203F27">
        <w:rPr>
          <w:rFonts w:ascii="Arial" w:hAnsi="Arial" w:cs="Arial"/>
          <w:sz w:val="23"/>
          <w:szCs w:val="23"/>
        </w:rPr>
        <w:t xml:space="preserve">Administrative Tribunal). </w:t>
      </w:r>
    </w:p>
    <w:p w14:paraId="477B3AD2" w14:textId="4F4E5EB2" w:rsidR="00A04E50" w:rsidRPr="00203F27" w:rsidRDefault="00A04E50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>At issue were “the validity of exit fees in residents’ Residential Site Agreements (RSA</w:t>
      </w:r>
      <w:r w:rsidR="003A7840" w:rsidRPr="00203F27">
        <w:rPr>
          <w:rFonts w:ascii="Arial" w:hAnsi="Arial" w:cs="Arial"/>
          <w:sz w:val="23"/>
          <w:szCs w:val="23"/>
        </w:rPr>
        <w:t>s</w:t>
      </w:r>
      <w:r w:rsidRPr="00203F27">
        <w:rPr>
          <w:rFonts w:ascii="Arial" w:hAnsi="Arial" w:cs="Arial"/>
          <w:sz w:val="23"/>
          <w:szCs w:val="23"/>
        </w:rPr>
        <w:t>) and covenants that allow rent to be charged after a resident dies”</w:t>
      </w:r>
      <w:r w:rsidR="00842943">
        <w:rPr>
          <w:rFonts w:ascii="Arial" w:hAnsi="Arial" w:cs="Arial"/>
          <w:sz w:val="23"/>
          <w:szCs w:val="23"/>
        </w:rPr>
        <w:t>*</w:t>
      </w:r>
      <w:r w:rsidRPr="00203F27">
        <w:rPr>
          <w:rFonts w:ascii="Arial" w:hAnsi="Arial" w:cs="Arial"/>
          <w:sz w:val="23"/>
          <w:szCs w:val="23"/>
        </w:rPr>
        <w:t>.  </w:t>
      </w:r>
    </w:p>
    <w:p w14:paraId="5DE807CC" w14:textId="6A7AEFD4" w:rsidR="00974C36" w:rsidRPr="00203F27" w:rsidRDefault="00A04E50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 xml:space="preserve"> </w:t>
      </w:r>
      <w:r w:rsidR="00974C36" w:rsidRPr="00203F27">
        <w:rPr>
          <w:rFonts w:ascii="Arial" w:hAnsi="Arial" w:cs="Arial"/>
          <w:sz w:val="23"/>
          <w:szCs w:val="23"/>
        </w:rPr>
        <w:t>VCAT President Justice Woodward delivered his ruling on Monday, 7 July 2025, finding that: </w:t>
      </w:r>
    </w:p>
    <w:p w14:paraId="2EA74923" w14:textId="70E2C1A5" w:rsidR="00974C36" w:rsidRPr="00203F27" w:rsidRDefault="00FE07D0" w:rsidP="00F8777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>“E</w:t>
      </w:r>
      <w:r w:rsidR="00974C36" w:rsidRPr="00203F27">
        <w:rPr>
          <w:rFonts w:ascii="Arial" w:hAnsi="Arial" w:cs="Arial"/>
          <w:sz w:val="23"/>
          <w:szCs w:val="23"/>
        </w:rPr>
        <w:t>xit fees in RSAs could not be charged if the amount of those fees is not disclosed up front. As the amount of a resident’s exit fees is not known until sale, Lifestyle’s model of exit fees as a percentage of sale price can never comply with and cannot be charged under s</w:t>
      </w:r>
      <w:r w:rsidRPr="00203F27">
        <w:rPr>
          <w:rFonts w:ascii="Arial" w:hAnsi="Arial" w:cs="Arial"/>
          <w:sz w:val="23"/>
          <w:szCs w:val="23"/>
        </w:rPr>
        <w:t>.</w:t>
      </w:r>
      <w:r w:rsidR="00974C36" w:rsidRPr="00203F27">
        <w:rPr>
          <w:rFonts w:ascii="Arial" w:hAnsi="Arial" w:cs="Arial"/>
          <w:sz w:val="23"/>
          <w:szCs w:val="23"/>
        </w:rPr>
        <w:t xml:space="preserve"> 206S of the </w:t>
      </w:r>
      <w:r w:rsidR="00974C36" w:rsidRPr="00203F27">
        <w:rPr>
          <w:rFonts w:ascii="Arial" w:hAnsi="Arial" w:cs="Arial"/>
          <w:i/>
          <w:iCs/>
          <w:sz w:val="23"/>
          <w:szCs w:val="23"/>
        </w:rPr>
        <w:t>Residential Tenancies Act 1997 </w:t>
      </w:r>
      <w:r w:rsidR="00974C36" w:rsidRPr="00203F27">
        <w:rPr>
          <w:rFonts w:ascii="Arial" w:hAnsi="Arial" w:cs="Arial"/>
          <w:sz w:val="23"/>
          <w:szCs w:val="23"/>
        </w:rPr>
        <w:t>(Vic) (</w:t>
      </w:r>
      <w:r w:rsidR="00974C36" w:rsidRPr="00203F27">
        <w:rPr>
          <w:rFonts w:ascii="Arial" w:hAnsi="Arial" w:cs="Arial"/>
          <w:b/>
          <w:bCs/>
          <w:sz w:val="23"/>
          <w:szCs w:val="23"/>
        </w:rPr>
        <w:t>RTA</w:t>
      </w:r>
      <w:r w:rsidRPr="00203F27">
        <w:rPr>
          <w:rFonts w:ascii="Arial" w:hAnsi="Arial" w:cs="Arial"/>
          <w:sz w:val="23"/>
          <w:szCs w:val="23"/>
        </w:rPr>
        <w:t>); and</w:t>
      </w:r>
    </w:p>
    <w:p w14:paraId="62AD9E74" w14:textId="238FD8BE" w:rsidR="00974C36" w:rsidRPr="00203F27" w:rsidRDefault="00FE07D0" w:rsidP="00F8777E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>T</w:t>
      </w:r>
      <w:r w:rsidR="00974C36" w:rsidRPr="00203F27">
        <w:rPr>
          <w:rFonts w:ascii="Arial" w:hAnsi="Arial" w:cs="Arial"/>
          <w:sz w:val="23"/>
          <w:szCs w:val="23"/>
        </w:rPr>
        <w:t>o require grieving relatives of a deceased resident to pay rent but not be able to occupy the home is ‘</w:t>
      </w:r>
      <w:r w:rsidR="00974C36" w:rsidRPr="00203F27">
        <w:rPr>
          <w:rFonts w:ascii="Arial" w:hAnsi="Arial" w:cs="Arial"/>
          <w:i/>
          <w:iCs/>
          <w:sz w:val="23"/>
          <w:szCs w:val="23"/>
        </w:rPr>
        <w:t>harsh, if not unconscionable</w:t>
      </w:r>
      <w:r w:rsidR="00974C36" w:rsidRPr="00203F27">
        <w:rPr>
          <w:rFonts w:ascii="Arial" w:hAnsi="Arial" w:cs="Arial"/>
          <w:sz w:val="23"/>
          <w:szCs w:val="23"/>
        </w:rPr>
        <w:t>’, and the RSAs are to be varied under s</w:t>
      </w:r>
      <w:r w:rsidRPr="00203F27">
        <w:rPr>
          <w:rFonts w:ascii="Arial" w:hAnsi="Arial" w:cs="Arial"/>
          <w:sz w:val="23"/>
          <w:szCs w:val="23"/>
        </w:rPr>
        <w:t>.</w:t>
      </w:r>
      <w:r w:rsidR="00974C36" w:rsidRPr="00203F27">
        <w:rPr>
          <w:rFonts w:ascii="Arial" w:hAnsi="Arial" w:cs="Arial"/>
          <w:sz w:val="23"/>
          <w:szCs w:val="23"/>
        </w:rPr>
        <w:t xml:space="preserve"> 206G of the RTA to allow the estate of a deceased resident to sub-let the home before sale</w:t>
      </w:r>
      <w:proofErr w:type="gramStart"/>
      <w:r w:rsidR="00974C36" w:rsidRPr="00203F27">
        <w:rPr>
          <w:rFonts w:ascii="Arial" w:hAnsi="Arial" w:cs="Arial"/>
          <w:sz w:val="23"/>
          <w:szCs w:val="23"/>
        </w:rPr>
        <w:t>.</w:t>
      </w:r>
      <w:r w:rsidRPr="00203F27">
        <w:rPr>
          <w:rFonts w:ascii="Arial" w:hAnsi="Arial" w:cs="Arial"/>
          <w:sz w:val="23"/>
          <w:szCs w:val="23"/>
        </w:rPr>
        <w:t>”</w:t>
      </w:r>
      <w:r w:rsidR="007F6427" w:rsidRPr="00203F27">
        <w:rPr>
          <w:rFonts w:ascii="Arial" w:hAnsi="Arial" w:cs="Arial"/>
          <w:sz w:val="23"/>
          <w:szCs w:val="23"/>
        </w:rPr>
        <w:t>*</w:t>
      </w:r>
      <w:proofErr w:type="gramEnd"/>
    </w:p>
    <w:p w14:paraId="77CE5935" w14:textId="1A1A8181" w:rsidR="00FE07D0" w:rsidRPr="00203F27" w:rsidRDefault="00FE07D0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 xml:space="preserve">The contracts that residents of retirement villages </w:t>
      </w:r>
      <w:proofErr w:type="gramStart"/>
      <w:r w:rsidRPr="00203F27">
        <w:rPr>
          <w:rFonts w:ascii="Arial" w:hAnsi="Arial" w:cs="Arial"/>
          <w:sz w:val="23"/>
          <w:szCs w:val="23"/>
        </w:rPr>
        <w:t>enter into</w:t>
      </w:r>
      <w:proofErr w:type="gramEnd"/>
      <w:r w:rsidRPr="00203F27">
        <w:rPr>
          <w:rFonts w:ascii="Arial" w:hAnsi="Arial" w:cs="Arial"/>
          <w:sz w:val="23"/>
          <w:szCs w:val="23"/>
        </w:rPr>
        <w:t xml:space="preserve"> are regulated by the </w:t>
      </w:r>
      <w:r w:rsidRPr="00203F27">
        <w:rPr>
          <w:rFonts w:ascii="Arial" w:hAnsi="Arial" w:cs="Arial"/>
          <w:i/>
          <w:iCs/>
          <w:sz w:val="23"/>
          <w:szCs w:val="23"/>
        </w:rPr>
        <w:t>Retirement Villages Act 1986</w:t>
      </w:r>
      <w:r w:rsidRPr="00203F27">
        <w:rPr>
          <w:rFonts w:ascii="Arial" w:hAnsi="Arial" w:cs="Arial"/>
          <w:sz w:val="23"/>
          <w:szCs w:val="23"/>
        </w:rPr>
        <w:t xml:space="preserve"> (Vic) (RVA). The RVA permits exit fees/deferred management fees (DMF</w:t>
      </w:r>
      <w:r w:rsidR="00E97CA6" w:rsidRPr="00203F27">
        <w:rPr>
          <w:rFonts w:ascii="Arial" w:hAnsi="Arial" w:cs="Arial"/>
          <w:sz w:val="23"/>
          <w:szCs w:val="23"/>
        </w:rPr>
        <w:t>s</w:t>
      </w:r>
      <w:r w:rsidRPr="00203F27">
        <w:rPr>
          <w:rFonts w:ascii="Arial" w:hAnsi="Arial" w:cs="Arial"/>
          <w:sz w:val="23"/>
          <w:szCs w:val="23"/>
        </w:rPr>
        <w:t xml:space="preserve">) to be charged on the sale price of </w:t>
      </w:r>
      <w:r w:rsidR="00F8777E" w:rsidRPr="00203F27">
        <w:rPr>
          <w:rFonts w:ascii="Arial" w:hAnsi="Arial" w:cs="Arial"/>
          <w:sz w:val="23"/>
          <w:szCs w:val="23"/>
        </w:rPr>
        <w:t xml:space="preserve">a </w:t>
      </w:r>
      <w:r w:rsidRPr="00203F27">
        <w:rPr>
          <w:rFonts w:ascii="Arial" w:hAnsi="Arial" w:cs="Arial"/>
          <w:sz w:val="23"/>
          <w:szCs w:val="23"/>
        </w:rPr>
        <w:t xml:space="preserve">unit. </w:t>
      </w:r>
    </w:p>
    <w:p w14:paraId="29DD81E9" w14:textId="58E2B629" w:rsidR="00E97CA6" w:rsidRPr="00203F27" w:rsidRDefault="00FE07D0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 xml:space="preserve">RRVV has lobbied the state government regarding this situation and contracts signed after the </w:t>
      </w:r>
      <w:r w:rsidRPr="00203F27">
        <w:rPr>
          <w:rFonts w:ascii="Arial" w:hAnsi="Arial" w:cs="Arial"/>
          <w:i/>
          <w:iCs/>
          <w:sz w:val="23"/>
          <w:szCs w:val="23"/>
        </w:rPr>
        <w:t xml:space="preserve">Retirement </w:t>
      </w:r>
      <w:r w:rsidR="00D008ED" w:rsidRPr="00203F27">
        <w:rPr>
          <w:rFonts w:ascii="Arial" w:hAnsi="Arial" w:cs="Arial"/>
          <w:i/>
          <w:iCs/>
          <w:sz w:val="23"/>
          <w:szCs w:val="23"/>
        </w:rPr>
        <w:t>V</w:t>
      </w:r>
      <w:r w:rsidRPr="00203F27">
        <w:rPr>
          <w:rFonts w:ascii="Arial" w:hAnsi="Arial" w:cs="Arial"/>
          <w:i/>
          <w:iCs/>
          <w:sz w:val="23"/>
          <w:szCs w:val="23"/>
        </w:rPr>
        <w:t xml:space="preserve">illage Amendment </w:t>
      </w:r>
      <w:r w:rsidR="00E97CA6" w:rsidRPr="00203F27">
        <w:rPr>
          <w:rFonts w:ascii="Arial" w:hAnsi="Arial" w:cs="Arial"/>
          <w:i/>
          <w:iCs/>
          <w:sz w:val="23"/>
          <w:szCs w:val="23"/>
        </w:rPr>
        <w:t>Bill 2024</w:t>
      </w:r>
      <w:r w:rsidRPr="00203F27">
        <w:rPr>
          <w:rFonts w:ascii="Arial" w:hAnsi="Arial" w:cs="Arial"/>
          <w:sz w:val="23"/>
          <w:szCs w:val="23"/>
        </w:rPr>
        <w:t>(Vic) comes into effect on 26 May 2026, will have the DM</w:t>
      </w:r>
      <w:r w:rsidR="00D008ED" w:rsidRPr="00203F27">
        <w:rPr>
          <w:rFonts w:ascii="Arial" w:hAnsi="Arial" w:cs="Arial"/>
          <w:sz w:val="23"/>
          <w:szCs w:val="23"/>
        </w:rPr>
        <w:t>F</w:t>
      </w:r>
      <w:r w:rsidRPr="00203F27">
        <w:rPr>
          <w:rFonts w:ascii="Arial" w:hAnsi="Arial" w:cs="Arial"/>
          <w:sz w:val="23"/>
          <w:szCs w:val="23"/>
        </w:rPr>
        <w:t xml:space="preserve"> based on the purchase price</w:t>
      </w:r>
      <w:r w:rsidR="00E97CA6" w:rsidRPr="00203F27">
        <w:rPr>
          <w:rFonts w:ascii="Arial" w:hAnsi="Arial" w:cs="Arial"/>
          <w:sz w:val="23"/>
          <w:szCs w:val="23"/>
        </w:rPr>
        <w:t>. Also service fees/maintenance will not be able to be charged</w:t>
      </w:r>
      <w:r w:rsidRPr="00203F27">
        <w:rPr>
          <w:rFonts w:ascii="Arial" w:hAnsi="Arial" w:cs="Arial"/>
          <w:sz w:val="23"/>
          <w:szCs w:val="23"/>
        </w:rPr>
        <w:t xml:space="preserve"> </w:t>
      </w:r>
      <w:r w:rsidR="00E97CA6" w:rsidRPr="00203F27">
        <w:rPr>
          <w:rFonts w:ascii="Arial" w:hAnsi="Arial" w:cs="Arial"/>
          <w:sz w:val="23"/>
          <w:szCs w:val="23"/>
        </w:rPr>
        <w:t xml:space="preserve">once a person has died. </w:t>
      </w:r>
    </w:p>
    <w:p w14:paraId="4A9FAD71" w14:textId="77777777" w:rsidR="007F6427" w:rsidRPr="00203F27" w:rsidRDefault="00E97CA6" w:rsidP="00F8777E">
      <w:pPr>
        <w:rPr>
          <w:rFonts w:ascii="Arial" w:hAnsi="Arial" w:cs="Arial"/>
          <w:sz w:val="23"/>
          <w:szCs w:val="23"/>
        </w:rPr>
      </w:pPr>
      <w:r w:rsidRPr="00203F27">
        <w:rPr>
          <w:rFonts w:ascii="Arial" w:hAnsi="Arial" w:cs="Arial"/>
          <w:sz w:val="23"/>
          <w:szCs w:val="23"/>
        </w:rPr>
        <w:t>Sadly, these changes do not apply to contracts signed before</w:t>
      </w:r>
      <w:r w:rsidR="00FE07D0" w:rsidRPr="00203F27">
        <w:rPr>
          <w:rFonts w:ascii="Arial" w:hAnsi="Arial" w:cs="Arial"/>
          <w:sz w:val="23"/>
          <w:szCs w:val="23"/>
        </w:rPr>
        <w:t xml:space="preserve"> </w:t>
      </w:r>
      <w:r w:rsidRPr="00203F27">
        <w:rPr>
          <w:rFonts w:ascii="Arial" w:hAnsi="Arial" w:cs="Arial"/>
          <w:sz w:val="23"/>
          <w:szCs w:val="23"/>
        </w:rPr>
        <w:t>26 May 2026. While some residents who have recently moved to a retirement village may have signed a contract which provides for a DMF based on the purchase price, longer term residents have not. RRVV will continue to lobby the state government on this issue</w:t>
      </w:r>
      <w:r w:rsidR="007F6427" w:rsidRPr="00203F27">
        <w:rPr>
          <w:rFonts w:ascii="Arial" w:hAnsi="Arial" w:cs="Arial"/>
          <w:sz w:val="23"/>
          <w:szCs w:val="23"/>
        </w:rPr>
        <w:t>.</w:t>
      </w:r>
    </w:p>
    <w:p w14:paraId="1BBD2446" w14:textId="77777777" w:rsidR="007F6427" w:rsidRPr="00203F27" w:rsidRDefault="007F6427" w:rsidP="00F8777E">
      <w:pPr>
        <w:rPr>
          <w:rFonts w:ascii="Arial" w:hAnsi="Arial" w:cs="Arial"/>
          <w:sz w:val="23"/>
          <w:szCs w:val="23"/>
        </w:rPr>
      </w:pPr>
    </w:p>
    <w:p w14:paraId="05DCCA1E" w14:textId="77777777" w:rsidR="00283725" w:rsidRPr="00203F27" w:rsidRDefault="00283725" w:rsidP="00F8777E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203F27">
        <w:rPr>
          <w:rFonts w:ascii="Arial" w:hAnsi="Arial" w:cs="Arial"/>
          <w:b/>
          <w:bCs/>
          <w:i/>
          <w:iCs/>
          <w:sz w:val="23"/>
          <w:szCs w:val="23"/>
        </w:rPr>
        <w:t>* Quoted from Greens List (9/7/25); the full article can be found here:</w:t>
      </w:r>
    </w:p>
    <w:p w14:paraId="08F7B8B3" w14:textId="795325C4" w:rsidR="00FE07D0" w:rsidRPr="00203F27" w:rsidRDefault="007F6427" w:rsidP="00F8777E">
      <w:pPr>
        <w:rPr>
          <w:rFonts w:ascii="Arial" w:hAnsi="Arial" w:cs="Arial"/>
          <w:color w:val="0060A8"/>
          <w:sz w:val="23"/>
          <w:szCs w:val="23"/>
        </w:rPr>
      </w:pPr>
      <w:r w:rsidRPr="00203F27">
        <w:rPr>
          <w:rFonts w:ascii="Arial" w:hAnsi="Arial" w:cs="Arial"/>
          <w:color w:val="0060A8"/>
          <w:sz w:val="23"/>
          <w:szCs w:val="23"/>
        </w:rPr>
        <w:t xml:space="preserve">https://www.greenslist.com.au/s/blog-detail/a38RG000003JTZFYA4/landmark-decision-about-exit-fees-and-rent-charged-to-dead-residents-in-over55sGreens List </w:t>
      </w:r>
      <w:r w:rsidR="00E97CA6" w:rsidRPr="00203F27">
        <w:rPr>
          <w:rFonts w:ascii="Arial" w:hAnsi="Arial" w:cs="Arial"/>
          <w:color w:val="0060A8"/>
          <w:sz w:val="23"/>
          <w:szCs w:val="23"/>
        </w:rPr>
        <w:t xml:space="preserve"> </w:t>
      </w:r>
      <w:r w:rsidR="00FE07D0" w:rsidRPr="00203F27">
        <w:rPr>
          <w:rFonts w:ascii="Arial" w:hAnsi="Arial" w:cs="Arial"/>
          <w:color w:val="0060A8"/>
          <w:sz w:val="23"/>
          <w:szCs w:val="23"/>
        </w:rPr>
        <w:t xml:space="preserve">  </w:t>
      </w:r>
    </w:p>
    <w:sectPr w:rsidR="00FE07D0" w:rsidRPr="00203F27" w:rsidSect="00203F27">
      <w:headerReference w:type="default" r:id="rId7"/>
      <w:footerReference w:type="default" r:id="rId8"/>
      <w:pgSz w:w="11906" w:h="16838"/>
      <w:pgMar w:top="1440" w:right="1077" w:bottom="851" w:left="107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0D79" w14:textId="77777777" w:rsidR="0069178E" w:rsidRDefault="0069178E" w:rsidP="00203F27">
      <w:pPr>
        <w:spacing w:after="0" w:line="240" w:lineRule="auto"/>
      </w:pPr>
      <w:r>
        <w:separator/>
      </w:r>
    </w:p>
  </w:endnote>
  <w:endnote w:type="continuationSeparator" w:id="0">
    <w:p w14:paraId="683035C0" w14:textId="77777777" w:rsidR="0069178E" w:rsidRDefault="0069178E" w:rsidP="0020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964E" w14:textId="0768D181" w:rsidR="00203F27" w:rsidRDefault="0020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A3427" w14:textId="77777777" w:rsidR="0069178E" w:rsidRDefault="0069178E" w:rsidP="00203F27">
      <w:pPr>
        <w:spacing w:after="0" w:line="240" w:lineRule="auto"/>
      </w:pPr>
      <w:r>
        <w:separator/>
      </w:r>
    </w:p>
  </w:footnote>
  <w:footnote w:type="continuationSeparator" w:id="0">
    <w:p w14:paraId="3723BCA4" w14:textId="77777777" w:rsidR="0069178E" w:rsidRDefault="0069178E" w:rsidP="0020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688E" w14:textId="7B6A4641" w:rsidR="00203F27" w:rsidRDefault="00203F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1620F4" wp14:editId="7F47CDE4">
          <wp:simplePos x="0" y="0"/>
          <wp:positionH relativeFrom="column">
            <wp:posOffset>1983105</wp:posOffset>
          </wp:positionH>
          <wp:positionV relativeFrom="paragraph">
            <wp:posOffset>-269875</wp:posOffset>
          </wp:positionV>
          <wp:extent cx="1724934" cy="605066"/>
          <wp:effectExtent l="0" t="0" r="0" b="0"/>
          <wp:wrapNone/>
          <wp:docPr id="7" name="Picture 7" descr="A white letter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letters on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34" cy="605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54450"/>
    <w:multiLevelType w:val="multilevel"/>
    <w:tmpl w:val="C31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100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36"/>
    <w:rsid w:val="001E2A57"/>
    <w:rsid w:val="00203F27"/>
    <w:rsid w:val="00262EE2"/>
    <w:rsid w:val="00283725"/>
    <w:rsid w:val="003A33BD"/>
    <w:rsid w:val="003A7840"/>
    <w:rsid w:val="00440C9D"/>
    <w:rsid w:val="005B37C3"/>
    <w:rsid w:val="0069178E"/>
    <w:rsid w:val="00702C72"/>
    <w:rsid w:val="007F6427"/>
    <w:rsid w:val="00842943"/>
    <w:rsid w:val="008D655F"/>
    <w:rsid w:val="00974C36"/>
    <w:rsid w:val="009B00CA"/>
    <w:rsid w:val="009B1BE4"/>
    <w:rsid w:val="00A04E50"/>
    <w:rsid w:val="00B27CDA"/>
    <w:rsid w:val="00D008ED"/>
    <w:rsid w:val="00DC6003"/>
    <w:rsid w:val="00DF588E"/>
    <w:rsid w:val="00E97CA6"/>
    <w:rsid w:val="00F8777E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DDC51"/>
  <w15:chartTrackingRefBased/>
  <w15:docId w15:val="{8D7B1856-22E7-474C-B49D-6A89BE22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27"/>
  </w:style>
  <w:style w:type="paragraph" w:styleId="Footer">
    <w:name w:val="footer"/>
    <w:basedOn w:val="Normal"/>
    <w:link w:val="FooterChar"/>
    <w:uiPriority w:val="99"/>
    <w:unhideWhenUsed/>
    <w:rsid w:val="0020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27"/>
  </w:style>
  <w:style w:type="character" w:styleId="Hyperlink">
    <w:name w:val="Hyperlink"/>
    <w:uiPriority w:val="99"/>
    <w:unhideWhenUsed/>
    <w:rsid w:val="00203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Betros</dc:creator>
  <cp:keywords/>
  <dc:description/>
  <cp:lastModifiedBy>Karin Veiser</cp:lastModifiedBy>
  <cp:revision>14</cp:revision>
  <dcterms:created xsi:type="dcterms:W3CDTF">2025-07-26T03:50:00Z</dcterms:created>
  <dcterms:modified xsi:type="dcterms:W3CDTF">2025-07-30T03:25:00Z</dcterms:modified>
</cp:coreProperties>
</file>